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114" w:rsidRPr="00341A73" w:rsidRDefault="00341A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 10</w:t>
      </w:r>
      <w:r w:rsidRPr="00341A7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 LIST</w:t>
      </w:r>
      <w:r w:rsidRPr="00341A73">
        <w:rPr>
          <w:rFonts w:ascii="Arial" w:hAnsi="Arial" w:cs="Arial"/>
          <w:b/>
          <w:sz w:val="24"/>
          <w:szCs w:val="24"/>
        </w:rPr>
        <w:t xml:space="preserve"> OF CHANGES TO </w:t>
      </w:r>
      <w:r>
        <w:rPr>
          <w:rFonts w:ascii="Arial" w:hAnsi="Arial" w:cs="Arial"/>
          <w:b/>
          <w:sz w:val="24"/>
          <w:szCs w:val="24"/>
        </w:rPr>
        <w:t xml:space="preserve">EXISTING </w:t>
      </w:r>
      <w:r w:rsidRPr="00341A73">
        <w:rPr>
          <w:rFonts w:ascii="Arial" w:hAnsi="Arial" w:cs="Arial"/>
          <w:b/>
          <w:sz w:val="24"/>
          <w:szCs w:val="24"/>
        </w:rPr>
        <w:t xml:space="preserve">SUPPORTING DOCUMENTS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167"/>
        <w:gridCol w:w="735"/>
        <w:gridCol w:w="1128"/>
        <w:gridCol w:w="343"/>
        <w:gridCol w:w="1354"/>
        <w:gridCol w:w="116"/>
        <w:gridCol w:w="735"/>
        <w:gridCol w:w="2206"/>
      </w:tblGrid>
      <w:tr w:rsidR="00F56A4E" w:rsidRPr="00341A73" w:rsidTr="00D65E4E">
        <w:trPr>
          <w:tblHeader/>
        </w:trPr>
        <w:tc>
          <w:tcPr>
            <w:tcW w:w="2205" w:type="dxa"/>
            <w:gridSpan w:val="2"/>
            <w:shd w:val="clear" w:color="auto" w:fill="BFBFBF" w:themeFill="background1" w:themeFillShade="BF"/>
          </w:tcPr>
          <w:p w:rsidR="00F56A4E" w:rsidRPr="00341A73" w:rsidRDefault="00F56A4E" w:rsidP="000B141C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341A73">
              <w:rPr>
                <w:rFonts w:ascii="Arial" w:hAnsi="Arial" w:cs="Arial"/>
                <w:b/>
              </w:rPr>
              <w:t xml:space="preserve">Section and page </w:t>
            </w:r>
          </w:p>
        </w:tc>
        <w:tc>
          <w:tcPr>
            <w:tcW w:w="2206" w:type="dxa"/>
            <w:gridSpan w:val="3"/>
            <w:shd w:val="clear" w:color="auto" w:fill="BFBFBF" w:themeFill="background1" w:themeFillShade="BF"/>
          </w:tcPr>
          <w:p w:rsidR="00F56A4E" w:rsidRPr="00341A73" w:rsidRDefault="00F56A4E" w:rsidP="000B141C">
            <w:pPr>
              <w:rPr>
                <w:rFonts w:ascii="Arial" w:hAnsi="Arial" w:cs="Arial"/>
                <w:b/>
              </w:rPr>
            </w:pPr>
            <w:r w:rsidRPr="00341A73">
              <w:rPr>
                <w:rFonts w:ascii="Arial" w:hAnsi="Arial" w:cs="Arial"/>
                <w:b/>
              </w:rPr>
              <w:t>Summary of content and changes</w:t>
            </w:r>
          </w:p>
        </w:tc>
        <w:tc>
          <w:tcPr>
            <w:tcW w:w="2205" w:type="dxa"/>
            <w:gridSpan w:val="3"/>
            <w:shd w:val="clear" w:color="auto" w:fill="BFBFBF" w:themeFill="background1" w:themeFillShade="BF"/>
          </w:tcPr>
          <w:p w:rsidR="00F56A4E" w:rsidRPr="00341A73" w:rsidRDefault="00F56A4E" w:rsidP="000B141C">
            <w:pPr>
              <w:rPr>
                <w:rFonts w:ascii="Arial" w:hAnsi="Arial" w:cs="Arial"/>
                <w:b/>
              </w:rPr>
            </w:pPr>
            <w:r w:rsidRPr="00341A73">
              <w:rPr>
                <w:rFonts w:ascii="Arial" w:hAnsi="Arial" w:cs="Arial"/>
                <w:b/>
              </w:rPr>
              <w:t xml:space="preserve">Detailed changes </w:t>
            </w:r>
          </w:p>
        </w:tc>
        <w:tc>
          <w:tcPr>
            <w:tcW w:w="2206" w:type="dxa"/>
            <w:shd w:val="clear" w:color="auto" w:fill="BFBFBF" w:themeFill="background1" w:themeFillShade="BF"/>
          </w:tcPr>
          <w:p w:rsidR="00F56A4E" w:rsidRPr="00341A73" w:rsidRDefault="00F56A4E" w:rsidP="000B14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Justification for change</w:t>
            </w:r>
            <w:r w:rsidRPr="00341A73">
              <w:rPr>
                <w:rFonts w:ascii="Arial" w:hAnsi="Arial" w:cs="Arial"/>
                <w:b/>
              </w:rPr>
              <w:t xml:space="preserve">/no change </w:t>
            </w:r>
          </w:p>
        </w:tc>
      </w:tr>
      <w:tr w:rsidR="00F56A4E" w:rsidRPr="00341A73" w:rsidTr="00745C59">
        <w:tc>
          <w:tcPr>
            <w:tcW w:w="5765" w:type="dxa"/>
            <w:gridSpan w:val="6"/>
            <w:shd w:val="clear" w:color="auto" w:fill="000000" w:themeFill="text1"/>
          </w:tcPr>
          <w:p w:rsidR="00F56A4E" w:rsidRPr="00341A73" w:rsidRDefault="00F56A4E" w:rsidP="000B141C">
            <w:pPr>
              <w:rPr>
                <w:rFonts w:ascii="Arial" w:hAnsi="Arial" w:cs="Arial"/>
                <w:color w:val="FFFFFF" w:themeColor="background1"/>
              </w:rPr>
            </w:pPr>
            <w:r w:rsidRPr="00341A73">
              <w:rPr>
                <w:rFonts w:ascii="Arial" w:hAnsi="Arial" w:cs="Arial"/>
                <w:color w:val="FFFFFF" w:themeColor="background1"/>
              </w:rPr>
              <w:t xml:space="preserve">Both </w:t>
            </w:r>
            <w:proofErr w:type="spellStart"/>
            <w:r w:rsidRPr="00341A73">
              <w:rPr>
                <w:rFonts w:ascii="Arial" w:hAnsi="Arial" w:cs="Arial"/>
                <w:color w:val="FFFFFF" w:themeColor="background1"/>
              </w:rPr>
              <w:t>Bentleigh</w:t>
            </w:r>
            <w:proofErr w:type="spellEnd"/>
            <w:r w:rsidRPr="00341A73">
              <w:rPr>
                <w:rFonts w:ascii="Arial" w:hAnsi="Arial" w:cs="Arial"/>
                <w:color w:val="FFFFFF" w:themeColor="background1"/>
              </w:rPr>
              <w:t xml:space="preserve"> and Carnegie Structure Plans </w:t>
            </w:r>
          </w:p>
        </w:tc>
        <w:tc>
          <w:tcPr>
            <w:tcW w:w="3057" w:type="dxa"/>
            <w:gridSpan w:val="3"/>
            <w:shd w:val="clear" w:color="auto" w:fill="000000" w:themeFill="text1"/>
          </w:tcPr>
          <w:p w:rsidR="00F56A4E" w:rsidRPr="00341A73" w:rsidRDefault="00F56A4E" w:rsidP="000B141C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F56A4E" w:rsidRPr="00341A73" w:rsidTr="00D65E4E">
        <w:tc>
          <w:tcPr>
            <w:tcW w:w="2205" w:type="dxa"/>
            <w:gridSpan w:val="2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section to cover strategic s</w:t>
            </w:r>
            <w:r w:rsidRPr="00341A73">
              <w:rPr>
                <w:rFonts w:ascii="Arial" w:hAnsi="Arial" w:cs="Arial"/>
              </w:rPr>
              <w:t>ites</w:t>
            </w:r>
            <w:r>
              <w:rPr>
                <w:rFonts w:ascii="Arial" w:hAnsi="Arial" w:cs="Arial"/>
              </w:rPr>
              <w:t>.</w:t>
            </w:r>
            <w:r w:rsidRPr="00341A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06" w:type="dxa"/>
            <w:gridSpan w:val="3"/>
          </w:tcPr>
          <w:p w:rsidR="00F56A4E" w:rsidRPr="00341A73" w:rsidRDefault="00F56A4E" w:rsidP="00744A7D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New section which outlines the purpose and objectives to each strategic site.</w:t>
            </w:r>
          </w:p>
        </w:tc>
        <w:tc>
          <w:tcPr>
            <w:tcW w:w="2205" w:type="dxa"/>
            <w:gridSpan w:val="3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</w:p>
        </w:tc>
      </w:tr>
      <w:tr w:rsidR="00F56A4E" w:rsidRPr="00341A73" w:rsidTr="00D65E4E">
        <w:tc>
          <w:tcPr>
            <w:tcW w:w="2205" w:type="dxa"/>
            <w:gridSpan w:val="2"/>
          </w:tcPr>
          <w:p w:rsidR="00F56A4E" w:rsidRPr="00341A73" w:rsidRDefault="00F56A4E" w:rsidP="00040FF8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Consistently and accurately apply the different terms used for open space and public space throughout the plans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06" w:type="dxa"/>
            <w:gridSpan w:val="3"/>
          </w:tcPr>
          <w:p w:rsidR="00F56A4E" w:rsidRPr="00341A73" w:rsidRDefault="00F56A4E" w:rsidP="00863E6D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 xml:space="preserve">Currently the </w:t>
            </w:r>
            <w:r w:rsidRPr="00341A73">
              <w:rPr>
                <w:rFonts w:ascii="Arial" w:hAnsi="Arial" w:cs="Arial"/>
                <w:i/>
              </w:rPr>
              <w:t>Structure Plans</w:t>
            </w:r>
            <w:r w:rsidRPr="00341A73">
              <w:rPr>
                <w:rFonts w:ascii="Arial" w:hAnsi="Arial" w:cs="Arial"/>
              </w:rPr>
              <w:t xml:space="preserve"> refer to these spaces in </w:t>
            </w:r>
            <w:proofErr w:type="gramStart"/>
            <w:r w:rsidRPr="00341A73">
              <w:rPr>
                <w:rFonts w:ascii="Arial" w:hAnsi="Arial" w:cs="Arial"/>
              </w:rPr>
              <w:t>a number of</w:t>
            </w:r>
            <w:proofErr w:type="gramEnd"/>
            <w:r w:rsidRPr="00341A73">
              <w:rPr>
                <w:rFonts w:ascii="Arial" w:hAnsi="Arial" w:cs="Arial"/>
              </w:rPr>
              <w:t xml:space="preserve"> ways.</w:t>
            </w:r>
          </w:p>
        </w:tc>
        <w:tc>
          <w:tcPr>
            <w:tcW w:w="2205" w:type="dxa"/>
            <w:gridSpan w:val="3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Consistency of terminology</w:t>
            </w:r>
            <w:r>
              <w:rPr>
                <w:rFonts w:ascii="Arial" w:hAnsi="Arial" w:cs="Arial"/>
              </w:rPr>
              <w:t>.</w:t>
            </w:r>
            <w:r w:rsidRPr="00341A73">
              <w:rPr>
                <w:rFonts w:ascii="Arial" w:hAnsi="Arial" w:cs="Arial"/>
              </w:rPr>
              <w:t xml:space="preserve"> </w:t>
            </w:r>
          </w:p>
        </w:tc>
      </w:tr>
      <w:tr w:rsidR="00F56A4E" w:rsidRPr="00341A73" w:rsidTr="00D65E4E">
        <w:trPr>
          <w:trHeight w:val="287"/>
        </w:trPr>
        <w:tc>
          <w:tcPr>
            <w:tcW w:w="2205" w:type="dxa"/>
            <w:gridSpan w:val="2"/>
            <w:shd w:val="clear" w:color="auto" w:fill="auto"/>
          </w:tcPr>
          <w:p w:rsidR="00F56A4E" w:rsidRPr="00341A73" w:rsidRDefault="00F56A4E" w:rsidP="00E94EC7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3.0 Buildings Change map where HO means change to shoptop classification from standard to heritage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F56A4E" w:rsidRPr="00341A73" w:rsidRDefault="00F56A4E" w:rsidP="0082166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 xml:space="preserve">Bentleigh – Fig 3 </w:t>
            </w:r>
            <w:r>
              <w:rPr>
                <w:rFonts w:ascii="Arial" w:hAnsi="Arial" w:cs="Arial"/>
              </w:rPr>
              <w:t>(</w:t>
            </w:r>
            <w:r w:rsidRPr="00341A73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</w:t>
            </w:r>
            <w:r w:rsidRPr="00341A73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e 20) and Carnegie </w:t>
            </w:r>
            <w:r w:rsidRPr="00341A73">
              <w:rPr>
                <w:rFonts w:ascii="Arial" w:hAnsi="Arial" w:cs="Arial"/>
              </w:rPr>
              <w:t xml:space="preserve">– Fig 3 </w:t>
            </w:r>
            <w:r>
              <w:rPr>
                <w:rFonts w:ascii="Arial" w:hAnsi="Arial" w:cs="Arial"/>
              </w:rPr>
              <w:t>(</w:t>
            </w:r>
            <w:r w:rsidRPr="00341A73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</w:t>
            </w:r>
            <w:r w:rsidRPr="00341A73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e</w:t>
            </w:r>
            <w:r w:rsidRPr="00341A73">
              <w:rPr>
                <w:rFonts w:ascii="Arial" w:hAnsi="Arial" w:cs="Arial"/>
              </w:rPr>
              <w:t xml:space="preserve"> 19</w:t>
            </w:r>
            <w:r>
              <w:rPr>
                <w:rFonts w:ascii="Arial" w:hAnsi="Arial" w:cs="Arial"/>
              </w:rPr>
              <w:t>)</w:t>
            </w:r>
            <w:r w:rsidRPr="00341A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05" w:type="dxa"/>
            <w:gridSpan w:val="3"/>
          </w:tcPr>
          <w:p w:rsidR="00F56A4E" w:rsidRPr="00341A73" w:rsidRDefault="00F56A4E" w:rsidP="00E94EC7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F56A4E" w:rsidRPr="00341A73" w:rsidRDefault="00F56A4E" w:rsidP="0082166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To reflect identified heritage significance of sites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F56A4E" w:rsidRPr="00341A73" w:rsidTr="00D65E4E">
        <w:trPr>
          <w:trHeight w:val="287"/>
        </w:trPr>
        <w:tc>
          <w:tcPr>
            <w:tcW w:w="2205" w:type="dxa"/>
            <w:gridSpan w:val="2"/>
            <w:shd w:val="clear" w:color="auto" w:fill="auto"/>
          </w:tcPr>
          <w:p w:rsidR="00F56A4E" w:rsidRPr="00341A73" w:rsidRDefault="00F56A4E" w:rsidP="00E94EC7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 xml:space="preserve">Contents 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F56A4E" w:rsidRPr="00341A73" w:rsidRDefault="00F56A4E" w:rsidP="0082166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Update to contents page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05" w:type="dxa"/>
            <w:gridSpan w:val="3"/>
          </w:tcPr>
          <w:p w:rsidR="00F56A4E" w:rsidRPr="00341A73" w:rsidRDefault="00F56A4E" w:rsidP="00E94EC7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F56A4E" w:rsidRPr="00341A73" w:rsidRDefault="00F56A4E" w:rsidP="0082166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To reflect changes made to documents</w:t>
            </w:r>
            <w:r>
              <w:rPr>
                <w:rFonts w:ascii="Arial" w:hAnsi="Arial" w:cs="Arial"/>
              </w:rPr>
              <w:t>.</w:t>
            </w:r>
          </w:p>
        </w:tc>
      </w:tr>
      <w:tr w:rsidR="00F56A4E" w:rsidRPr="00341A73" w:rsidTr="00D65E4E">
        <w:tc>
          <w:tcPr>
            <w:tcW w:w="2940" w:type="dxa"/>
            <w:gridSpan w:val="3"/>
            <w:shd w:val="clear" w:color="auto" w:fill="000000" w:themeFill="text1"/>
          </w:tcPr>
          <w:p w:rsidR="00F56A4E" w:rsidRPr="00341A73" w:rsidRDefault="00F56A4E" w:rsidP="000B141C">
            <w:pPr>
              <w:rPr>
                <w:rFonts w:ascii="Arial" w:hAnsi="Arial" w:cs="Arial"/>
                <w:color w:val="FFFFFF" w:themeColor="background1"/>
                <w:highlight w:val="black"/>
              </w:rPr>
            </w:pPr>
            <w:proofErr w:type="spellStart"/>
            <w:r w:rsidRPr="00341A73">
              <w:rPr>
                <w:rFonts w:ascii="Arial" w:hAnsi="Arial" w:cs="Arial"/>
                <w:color w:val="FFFFFF" w:themeColor="background1"/>
                <w:highlight w:val="black"/>
              </w:rPr>
              <w:t>Bentleigh</w:t>
            </w:r>
            <w:proofErr w:type="spellEnd"/>
            <w:r w:rsidRPr="00341A73">
              <w:rPr>
                <w:rFonts w:ascii="Arial" w:hAnsi="Arial" w:cs="Arial"/>
                <w:color w:val="FFFFFF" w:themeColor="background1"/>
                <w:highlight w:val="black"/>
              </w:rPr>
              <w:t xml:space="preserve"> Structure Plan </w:t>
            </w:r>
          </w:p>
        </w:tc>
        <w:tc>
          <w:tcPr>
            <w:tcW w:w="2941" w:type="dxa"/>
            <w:gridSpan w:val="4"/>
            <w:shd w:val="clear" w:color="auto" w:fill="000000" w:themeFill="text1"/>
          </w:tcPr>
          <w:p w:rsidR="00F56A4E" w:rsidRPr="00341A73" w:rsidRDefault="00F56A4E" w:rsidP="000B141C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941" w:type="dxa"/>
            <w:gridSpan w:val="2"/>
            <w:shd w:val="clear" w:color="auto" w:fill="000000" w:themeFill="text1"/>
          </w:tcPr>
          <w:p w:rsidR="00F56A4E" w:rsidRPr="00341A73" w:rsidRDefault="00F56A4E" w:rsidP="000B141C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F56A4E" w:rsidRPr="00341A73" w:rsidTr="00D65E4E">
        <w:tc>
          <w:tcPr>
            <w:tcW w:w="2205" w:type="dxa"/>
            <w:gridSpan w:val="2"/>
            <w:shd w:val="clear" w:color="auto" w:fill="auto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 Parking and Movement (page</w:t>
            </w:r>
            <w:r w:rsidRPr="00341A73">
              <w:rPr>
                <w:rFonts w:ascii="Arial" w:hAnsi="Arial" w:cs="Arial"/>
              </w:rPr>
              <w:t xml:space="preserve"> 44</w:t>
            </w:r>
            <w:r>
              <w:rPr>
                <w:rFonts w:ascii="Arial" w:hAnsi="Arial" w:cs="Arial"/>
              </w:rPr>
              <w:t>)</w:t>
            </w:r>
            <w:r w:rsidRPr="00341A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Remove reference to ‘trams’</w:t>
            </w:r>
            <w:r>
              <w:rPr>
                <w:rFonts w:ascii="Arial" w:hAnsi="Arial" w:cs="Arial"/>
              </w:rPr>
              <w:t>.</w:t>
            </w:r>
            <w:r w:rsidRPr="00341A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05" w:type="dxa"/>
            <w:gridSpan w:val="3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Error</w:t>
            </w:r>
            <w:r w:rsidRPr="00341A7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n</w:t>
            </w:r>
            <w:r w:rsidRPr="00341A73">
              <w:rPr>
                <w:rFonts w:ascii="Arial" w:hAnsi="Arial" w:cs="Arial"/>
              </w:rPr>
              <w:t xml:space="preserve">o trams in </w:t>
            </w:r>
            <w:proofErr w:type="spellStart"/>
            <w:r w:rsidRPr="00341A73">
              <w:rPr>
                <w:rFonts w:ascii="Arial" w:hAnsi="Arial" w:cs="Arial"/>
              </w:rPr>
              <w:t>Bentleigh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341A73">
              <w:rPr>
                <w:rFonts w:ascii="Arial" w:hAnsi="Arial" w:cs="Arial"/>
              </w:rPr>
              <w:t xml:space="preserve"> </w:t>
            </w:r>
          </w:p>
        </w:tc>
      </w:tr>
      <w:tr w:rsidR="00F56A4E" w:rsidRPr="00341A73" w:rsidTr="00D65E4E">
        <w:tc>
          <w:tcPr>
            <w:tcW w:w="2205" w:type="dxa"/>
            <w:gridSpan w:val="2"/>
            <w:shd w:val="clear" w:color="auto" w:fill="auto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3.0 Buildings (p</w:t>
            </w:r>
            <w:r>
              <w:rPr>
                <w:rFonts w:ascii="Arial" w:hAnsi="Arial" w:cs="Arial"/>
              </w:rPr>
              <w:t>age</w:t>
            </w:r>
            <w:r w:rsidRPr="00341A73">
              <w:rPr>
                <w:rFonts w:ascii="Arial" w:hAnsi="Arial" w:cs="Arial"/>
              </w:rPr>
              <w:t>16)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 xml:space="preserve">Remove reference to significant community benefit being a key focus for Strategic </w:t>
            </w:r>
            <w:proofErr w:type="gramStart"/>
            <w:r w:rsidRPr="00341A73">
              <w:rPr>
                <w:rFonts w:ascii="Arial" w:hAnsi="Arial" w:cs="Arial"/>
              </w:rPr>
              <w:t>site</w:t>
            </w:r>
            <w:proofErr w:type="gramEnd"/>
            <w:r w:rsidRPr="00341A73">
              <w:rPr>
                <w:rFonts w:ascii="Arial" w:hAnsi="Arial" w:cs="Arial"/>
              </w:rPr>
              <w:t xml:space="preserve"> B.</w:t>
            </w:r>
          </w:p>
        </w:tc>
        <w:tc>
          <w:tcPr>
            <w:tcW w:w="2205" w:type="dxa"/>
            <w:gridSpan w:val="3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F56A4E" w:rsidRPr="00341A73" w:rsidRDefault="00F56A4E" w:rsidP="00341A73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 xml:space="preserve">There is no floor </w:t>
            </w:r>
            <w:r>
              <w:rPr>
                <w:rFonts w:ascii="Arial" w:hAnsi="Arial" w:cs="Arial"/>
              </w:rPr>
              <w:t>uplift proposed for Bentleigh. We</w:t>
            </w:r>
            <w:r w:rsidRPr="00341A73">
              <w:rPr>
                <w:rFonts w:ascii="Arial" w:hAnsi="Arial" w:cs="Arial"/>
              </w:rPr>
              <w:t xml:space="preserve"> want community benefit but not significant community benefit in same manner as what is proposed for Carnegie.</w:t>
            </w:r>
          </w:p>
        </w:tc>
      </w:tr>
      <w:tr w:rsidR="00F56A4E" w:rsidRPr="00341A73" w:rsidTr="00D65E4E">
        <w:tc>
          <w:tcPr>
            <w:tcW w:w="2205" w:type="dxa"/>
            <w:gridSpan w:val="2"/>
            <w:shd w:val="clear" w:color="auto" w:fill="auto"/>
          </w:tcPr>
          <w:p w:rsidR="00F56A4E" w:rsidRPr="00341A73" w:rsidRDefault="00F56A4E" w:rsidP="0012673F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 xml:space="preserve">All maps 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Show 8 Vickery Street as extension of the strategic site which is immediately to south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05" w:type="dxa"/>
            <w:gridSpan w:val="3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 xml:space="preserve">Provides better opportunity to </w:t>
            </w:r>
            <w:r>
              <w:rPr>
                <w:rFonts w:ascii="Arial" w:hAnsi="Arial" w:cs="Arial"/>
              </w:rPr>
              <w:t xml:space="preserve">develop land in this location. </w:t>
            </w:r>
            <w:r w:rsidRPr="00341A73">
              <w:rPr>
                <w:rFonts w:ascii="Arial" w:hAnsi="Arial" w:cs="Arial"/>
              </w:rPr>
              <w:t>Church is next property to north.</w:t>
            </w:r>
          </w:p>
        </w:tc>
      </w:tr>
      <w:tr w:rsidR="00F56A4E" w:rsidRPr="00341A73" w:rsidTr="00D65E4E">
        <w:tc>
          <w:tcPr>
            <w:tcW w:w="2205" w:type="dxa"/>
            <w:gridSpan w:val="2"/>
            <w:shd w:val="clear" w:color="auto" w:fill="auto"/>
          </w:tcPr>
          <w:p w:rsidR="00F56A4E" w:rsidRPr="00341A73" w:rsidRDefault="00F56A4E" w:rsidP="00C82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 Parking and Movement (pages 46-</w:t>
            </w:r>
            <w:r w:rsidRPr="00341A73">
              <w:rPr>
                <w:rFonts w:ascii="Arial" w:hAnsi="Arial" w:cs="Arial"/>
              </w:rPr>
              <w:t>7)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F56A4E" w:rsidRPr="00341A73" w:rsidRDefault="00F56A4E" w:rsidP="00B201CA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 xml:space="preserve">The provision: ‘Relocate Vickery Street Car park to Horsely Street public car park and repurpose for diverse housing and </w:t>
            </w:r>
            <w:r>
              <w:rPr>
                <w:rFonts w:ascii="Arial" w:hAnsi="Arial" w:cs="Arial"/>
              </w:rPr>
              <w:lastRenderedPageBreak/>
              <w:t xml:space="preserve">employment’ </w:t>
            </w:r>
            <w:r w:rsidRPr="00341A73">
              <w:rPr>
                <w:rFonts w:ascii="Arial" w:hAnsi="Arial" w:cs="Arial"/>
              </w:rPr>
              <w:t>is not reflected in pages 29, 31 or 33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05" w:type="dxa"/>
            <w:gridSpan w:val="3"/>
          </w:tcPr>
          <w:p w:rsidR="00F56A4E" w:rsidRPr="00341A73" w:rsidRDefault="00F56A4E" w:rsidP="00A8682F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lastRenderedPageBreak/>
              <w:t xml:space="preserve">Change wording </w:t>
            </w:r>
            <w:r>
              <w:rPr>
                <w:rFonts w:ascii="Arial" w:hAnsi="Arial" w:cs="Arial"/>
              </w:rPr>
              <w:t>in third dot point to r</w:t>
            </w:r>
            <w:r w:rsidRPr="00341A73">
              <w:rPr>
                <w:rFonts w:ascii="Arial" w:hAnsi="Arial" w:cs="Arial"/>
              </w:rPr>
              <w:t xml:space="preserve">elocate Vickery Street car park to Horsley Street public car park and repurpose the site </w:t>
            </w:r>
            <w:r w:rsidRPr="00341A73">
              <w:rPr>
                <w:rFonts w:ascii="Arial" w:hAnsi="Arial" w:cs="Arial"/>
              </w:rPr>
              <w:lastRenderedPageBreak/>
              <w:t xml:space="preserve">for public space – </w:t>
            </w:r>
            <w:proofErr w:type="spellStart"/>
            <w:r w:rsidRPr="00341A73">
              <w:rPr>
                <w:rFonts w:ascii="Arial" w:hAnsi="Arial" w:cs="Arial"/>
              </w:rPr>
              <w:t>ie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341A73">
              <w:rPr>
                <w:rFonts w:ascii="Arial" w:hAnsi="Arial" w:cs="Arial"/>
              </w:rPr>
              <w:t xml:space="preserve"> new public plaza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06" w:type="dxa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lastRenderedPageBreak/>
              <w:t>Amend for consistency</w:t>
            </w:r>
            <w:r>
              <w:rPr>
                <w:rFonts w:ascii="Arial" w:hAnsi="Arial" w:cs="Arial"/>
              </w:rPr>
              <w:t>.</w:t>
            </w:r>
            <w:r w:rsidRPr="00341A73">
              <w:rPr>
                <w:rFonts w:ascii="Arial" w:hAnsi="Arial" w:cs="Arial"/>
              </w:rPr>
              <w:t xml:space="preserve"> </w:t>
            </w:r>
          </w:p>
        </w:tc>
      </w:tr>
      <w:tr w:rsidR="00F56A4E" w:rsidRPr="00341A73" w:rsidTr="00D65E4E">
        <w:tc>
          <w:tcPr>
            <w:tcW w:w="2205" w:type="dxa"/>
            <w:gridSpan w:val="2"/>
            <w:shd w:val="clear" w:color="auto" w:fill="auto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3.0 Buildings</w:t>
            </w:r>
          </w:p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IN3Z site – 99 Brewer Rd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F56A4E" w:rsidRPr="00341A73" w:rsidRDefault="00F56A4E" w:rsidP="004F6978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Mark on map and give direction to future housing typology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05" w:type="dxa"/>
            <w:gridSpan w:val="3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Housing type not heritage and character housing but garden townhouse, but which addresses its locational context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06" w:type="dxa"/>
          </w:tcPr>
          <w:p w:rsidR="00F56A4E" w:rsidRPr="00341A73" w:rsidRDefault="00F56A4E" w:rsidP="000B141C">
            <w:pPr>
              <w:rPr>
                <w:rFonts w:ascii="Arial" w:hAnsi="Arial" w:cs="Arial"/>
                <w:b/>
              </w:rPr>
            </w:pPr>
            <w:r w:rsidRPr="00341A73">
              <w:rPr>
                <w:rFonts w:ascii="Arial" w:hAnsi="Arial" w:cs="Arial"/>
              </w:rPr>
              <w:t>Site presently industrial with large site coverage adjoining herit</w:t>
            </w:r>
            <w:r>
              <w:rPr>
                <w:rFonts w:ascii="Arial" w:hAnsi="Arial" w:cs="Arial"/>
              </w:rPr>
              <w:t xml:space="preserve">age property and railway line. </w:t>
            </w:r>
            <w:r w:rsidRPr="00341A73">
              <w:rPr>
                <w:rFonts w:ascii="Arial" w:hAnsi="Arial" w:cs="Arial"/>
              </w:rPr>
              <w:t>Approach this site consistent with existing policy of supporting higher development yield while ensuring development consistent with prevailing landscape scale</w:t>
            </w:r>
            <w:r>
              <w:rPr>
                <w:rFonts w:ascii="Arial" w:hAnsi="Arial" w:cs="Arial"/>
              </w:rPr>
              <w:t>.</w:t>
            </w:r>
          </w:p>
        </w:tc>
      </w:tr>
      <w:tr w:rsidR="00F56A4E" w:rsidRPr="00341A73" w:rsidTr="00D65E4E">
        <w:trPr>
          <w:trHeight w:val="287"/>
        </w:trPr>
        <w:tc>
          <w:tcPr>
            <w:tcW w:w="2038" w:type="dxa"/>
            <w:shd w:val="clear" w:color="auto" w:fill="000000" w:themeFill="text1"/>
          </w:tcPr>
          <w:p w:rsidR="00F56A4E" w:rsidRPr="00341A73" w:rsidRDefault="00F56A4E" w:rsidP="000B141C">
            <w:pPr>
              <w:rPr>
                <w:rFonts w:ascii="Arial" w:hAnsi="Arial" w:cs="Arial"/>
                <w:color w:val="FFFFFF" w:themeColor="background1"/>
              </w:rPr>
            </w:pPr>
            <w:r w:rsidRPr="00341A73">
              <w:rPr>
                <w:rFonts w:ascii="Arial" w:hAnsi="Arial" w:cs="Arial"/>
                <w:color w:val="FFFFFF" w:themeColor="background1"/>
              </w:rPr>
              <w:t xml:space="preserve">Carnegie Structure plan </w:t>
            </w:r>
          </w:p>
        </w:tc>
        <w:tc>
          <w:tcPr>
            <w:tcW w:w="2030" w:type="dxa"/>
            <w:gridSpan w:val="3"/>
            <w:shd w:val="clear" w:color="auto" w:fill="000000" w:themeFill="text1"/>
          </w:tcPr>
          <w:p w:rsidR="00F56A4E" w:rsidRPr="00341A73" w:rsidRDefault="00F56A4E" w:rsidP="000B141C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697" w:type="dxa"/>
            <w:gridSpan w:val="2"/>
            <w:shd w:val="clear" w:color="auto" w:fill="000000" w:themeFill="text1"/>
          </w:tcPr>
          <w:p w:rsidR="00F56A4E" w:rsidRPr="00341A73" w:rsidRDefault="00F56A4E" w:rsidP="000B141C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057" w:type="dxa"/>
            <w:gridSpan w:val="3"/>
            <w:shd w:val="clear" w:color="auto" w:fill="000000" w:themeFill="text1"/>
          </w:tcPr>
          <w:p w:rsidR="00F56A4E" w:rsidRPr="00341A73" w:rsidRDefault="00F56A4E" w:rsidP="000B141C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F56A4E" w:rsidRPr="00341A73" w:rsidTr="00D65E4E">
        <w:trPr>
          <w:trHeight w:val="287"/>
        </w:trPr>
        <w:tc>
          <w:tcPr>
            <w:tcW w:w="2205" w:type="dxa"/>
            <w:gridSpan w:val="2"/>
            <w:shd w:val="clear" w:color="auto" w:fill="auto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 xml:space="preserve">Change boundary of </w:t>
            </w:r>
            <w:r w:rsidRPr="00341A73">
              <w:rPr>
                <w:rFonts w:ascii="Arial" w:hAnsi="Arial" w:cs="Arial"/>
                <w:b/>
              </w:rPr>
              <w:t>all</w:t>
            </w:r>
            <w:r w:rsidRPr="00341A73">
              <w:rPr>
                <w:rFonts w:ascii="Arial" w:hAnsi="Arial" w:cs="Arial"/>
              </w:rPr>
              <w:t xml:space="preserve"> </w:t>
            </w:r>
            <w:proofErr w:type="gramStart"/>
            <w:r w:rsidRPr="00341A73">
              <w:rPr>
                <w:rFonts w:ascii="Arial" w:hAnsi="Arial" w:cs="Arial"/>
              </w:rPr>
              <w:t>maps  to</w:t>
            </w:r>
            <w:proofErr w:type="gramEnd"/>
            <w:r w:rsidRPr="00341A73">
              <w:rPr>
                <w:rFonts w:ascii="Arial" w:hAnsi="Arial" w:cs="Arial"/>
              </w:rPr>
              <w:t xml:space="preserve"> include commercial area to south as specified in the urban form report 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proofErr w:type="spellStart"/>
            <w:r w:rsidRPr="00341A73">
              <w:rPr>
                <w:rFonts w:ascii="Arial" w:hAnsi="Arial" w:cs="Arial"/>
              </w:rPr>
              <w:t>Ie</w:t>
            </w:r>
            <w:proofErr w:type="spellEnd"/>
            <w:r>
              <w:rPr>
                <w:rFonts w:ascii="Arial" w:hAnsi="Arial" w:cs="Arial"/>
              </w:rPr>
              <w:t>. Fig 1 (pa</w:t>
            </w:r>
            <w:r w:rsidRPr="00341A73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e</w:t>
            </w:r>
            <w:r w:rsidRPr="00341A73">
              <w:rPr>
                <w:rFonts w:ascii="Arial" w:hAnsi="Arial" w:cs="Arial"/>
              </w:rPr>
              <w:t xml:space="preserve"> 13</w:t>
            </w:r>
            <w:r>
              <w:rPr>
                <w:rFonts w:ascii="Arial" w:hAnsi="Arial" w:cs="Arial"/>
              </w:rPr>
              <w:t>)</w:t>
            </w:r>
          </w:p>
          <w:p w:rsidR="00F56A4E" w:rsidRPr="00341A73" w:rsidRDefault="00F56A4E" w:rsidP="000B1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 3 (pa</w:t>
            </w:r>
            <w:r w:rsidRPr="00341A73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e</w:t>
            </w:r>
            <w:r w:rsidRPr="00341A73">
              <w:rPr>
                <w:rFonts w:ascii="Arial" w:hAnsi="Arial" w:cs="Arial"/>
              </w:rPr>
              <w:t xml:space="preserve"> 19</w:t>
            </w:r>
            <w:r>
              <w:rPr>
                <w:rFonts w:ascii="Arial" w:hAnsi="Arial" w:cs="Arial"/>
              </w:rPr>
              <w:t>)</w:t>
            </w:r>
          </w:p>
          <w:p w:rsidR="00F56A4E" w:rsidRPr="00341A73" w:rsidRDefault="00F56A4E" w:rsidP="000B1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 4 (pa</w:t>
            </w:r>
            <w:r w:rsidRPr="00341A73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e</w:t>
            </w:r>
            <w:r w:rsidRPr="00341A73">
              <w:rPr>
                <w:rFonts w:ascii="Arial" w:hAnsi="Arial" w:cs="Arial"/>
              </w:rPr>
              <w:t xml:space="preserve"> 20-21</w:t>
            </w:r>
            <w:r>
              <w:rPr>
                <w:rFonts w:ascii="Arial" w:hAnsi="Arial" w:cs="Arial"/>
              </w:rPr>
              <w:t>)</w:t>
            </w:r>
          </w:p>
          <w:p w:rsidR="00F56A4E" w:rsidRPr="00341A73" w:rsidRDefault="00F56A4E" w:rsidP="000B141C">
            <w:pPr>
              <w:rPr>
                <w:rFonts w:ascii="Arial" w:hAnsi="Arial" w:cs="Arial"/>
              </w:rPr>
            </w:pPr>
          </w:p>
        </w:tc>
        <w:tc>
          <w:tcPr>
            <w:tcW w:w="2205" w:type="dxa"/>
            <w:gridSpan w:val="3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Due to findings of the heritage review</w:t>
            </w:r>
            <w:r>
              <w:rPr>
                <w:rFonts w:ascii="Arial" w:hAnsi="Arial" w:cs="Arial"/>
              </w:rPr>
              <w:t>.</w:t>
            </w:r>
            <w:r w:rsidRPr="00341A73">
              <w:rPr>
                <w:rFonts w:ascii="Arial" w:hAnsi="Arial" w:cs="Arial"/>
              </w:rPr>
              <w:t xml:space="preserve"> </w:t>
            </w:r>
          </w:p>
        </w:tc>
      </w:tr>
      <w:tr w:rsidR="00F56A4E" w:rsidRPr="00341A73" w:rsidTr="00D65E4E">
        <w:trPr>
          <w:trHeight w:val="287"/>
        </w:trPr>
        <w:tc>
          <w:tcPr>
            <w:tcW w:w="2205" w:type="dxa"/>
            <w:gridSpan w:val="2"/>
            <w:shd w:val="clear" w:color="auto" w:fill="auto"/>
          </w:tcPr>
          <w:p w:rsidR="00F56A4E" w:rsidRPr="00341A73" w:rsidRDefault="00F56A4E" w:rsidP="006F5F90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All maps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Identify the lot that isn’t part of railway corridor on Koornang Road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05" w:type="dxa"/>
            <w:gridSpan w:val="3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This lot is in private ownership</w:t>
            </w:r>
            <w:r>
              <w:rPr>
                <w:rFonts w:ascii="Arial" w:hAnsi="Arial" w:cs="Arial"/>
              </w:rPr>
              <w:t>.</w:t>
            </w:r>
          </w:p>
        </w:tc>
      </w:tr>
      <w:tr w:rsidR="00F56A4E" w:rsidRPr="00341A73" w:rsidTr="00D65E4E">
        <w:trPr>
          <w:trHeight w:val="287"/>
        </w:trPr>
        <w:tc>
          <w:tcPr>
            <w:tcW w:w="2205" w:type="dxa"/>
            <w:gridSpan w:val="2"/>
            <w:shd w:val="clear" w:color="auto" w:fill="auto"/>
          </w:tcPr>
          <w:p w:rsidR="00F56A4E" w:rsidRPr="00341A73" w:rsidRDefault="00F56A4E" w:rsidP="0082166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6.0 Urban Renewal – Figure 13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Change height of sites identified as heritage significant on east side of Koornang R</w:t>
            </w:r>
            <w:r>
              <w:rPr>
                <w:rFonts w:ascii="Arial" w:hAnsi="Arial" w:cs="Arial"/>
              </w:rPr>
              <w:t>oa</w:t>
            </w:r>
            <w:r w:rsidRPr="00341A73">
              <w:rPr>
                <w:rFonts w:ascii="Arial" w:hAnsi="Arial" w:cs="Arial"/>
              </w:rPr>
              <w:t>d from 5 storey to 4 storey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05" w:type="dxa"/>
            <w:gridSpan w:val="3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F56A4E" w:rsidRPr="00341A73" w:rsidRDefault="00F56A4E" w:rsidP="0082166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To reflect heritage significance of site</w:t>
            </w:r>
            <w:r>
              <w:rPr>
                <w:rFonts w:ascii="Arial" w:hAnsi="Arial" w:cs="Arial"/>
              </w:rPr>
              <w:t>.</w:t>
            </w:r>
            <w:r w:rsidRPr="00341A73">
              <w:rPr>
                <w:rFonts w:ascii="Arial" w:hAnsi="Arial" w:cs="Arial"/>
              </w:rPr>
              <w:t xml:space="preserve"> </w:t>
            </w:r>
          </w:p>
        </w:tc>
      </w:tr>
      <w:tr w:rsidR="00F56A4E" w:rsidRPr="00341A73" w:rsidTr="00D65E4E">
        <w:trPr>
          <w:trHeight w:val="287"/>
        </w:trPr>
        <w:tc>
          <w:tcPr>
            <w:tcW w:w="2205" w:type="dxa"/>
            <w:gridSpan w:val="2"/>
            <w:shd w:val="clear" w:color="auto" w:fill="auto"/>
          </w:tcPr>
          <w:p w:rsidR="00F56A4E" w:rsidRPr="00341A73" w:rsidRDefault="00F56A4E" w:rsidP="0082166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 xml:space="preserve">6.0 Urban Renewal 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Insert section to provide further information on community benefit requirements and how they will be determined.</w:t>
            </w:r>
          </w:p>
        </w:tc>
        <w:tc>
          <w:tcPr>
            <w:tcW w:w="2205" w:type="dxa"/>
            <w:gridSpan w:val="3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To add weight to the requirement</w:t>
            </w:r>
            <w:r>
              <w:rPr>
                <w:rFonts w:ascii="Arial" w:hAnsi="Arial" w:cs="Arial"/>
              </w:rPr>
              <w:t>.</w:t>
            </w:r>
            <w:r w:rsidRPr="00341A73">
              <w:rPr>
                <w:rFonts w:ascii="Arial" w:hAnsi="Arial" w:cs="Arial"/>
              </w:rPr>
              <w:t xml:space="preserve"> </w:t>
            </w:r>
          </w:p>
        </w:tc>
      </w:tr>
      <w:tr w:rsidR="00F56A4E" w:rsidRPr="00341A73" w:rsidTr="00D65E4E">
        <w:trPr>
          <w:trHeight w:val="287"/>
        </w:trPr>
        <w:tc>
          <w:tcPr>
            <w:tcW w:w="2205" w:type="dxa"/>
            <w:gridSpan w:val="2"/>
            <w:shd w:val="clear" w:color="auto" w:fill="auto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 xml:space="preserve">6.0 Urban Renewal 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 xml:space="preserve">Re-order urban design </w:t>
            </w:r>
            <w:proofErr w:type="gramStart"/>
            <w:r w:rsidRPr="00341A73">
              <w:rPr>
                <w:rFonts w:ascii="Arial" w:hAnsi="Arial" w:cs="Arial"/>
              </w:rPr>
              <w:t>principles  and</w:t>
            </w:r>
            <w:proofErr w:type="gramEnd"/>
            <w:r w:rsidRPr="00341A73">
              <w:rPr>
                <w:rFonts w:ascii="Arial" w:hAnsi="Arial" w:cs="Arial"/>
              </w:rPr>
              <w:t xml:space="preserve"> divide into strategic direction principles and built form principles</w:t>
            </w:r>
            <w:r>
              <w:rPr>
                <w:rFonts w:ascii="Arial" w:hAnsi="Arial" w:cs="Arial"/>
              </w:rPr>
              <w:t>.</w:t>
            </w:r>
            <w:r w:rsidRPr="00341A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05" w:type="dxa"/>
            <w:gridSpan w:val="3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Reordered to make clearer</w:t>
            </w:r>
            <w:r>
              <w:rPr>
                <w:rFonts w:ascii="Arial" w:hAnsi="Arial" w:cs="Arial"/>
              </w:rPr>
              <w:t>.</w:t>
            </w:r>
          </w:p>
        </w:tc>
      </w:tr>
      <w:tr w:rsidR="00F56A4E" w:rsidRPr="00341A73" w:rsidTr="00D65E4E">
        <w:trPr>
          <w:trHeight w:val="287"/>
        </w:trPr>
        <w:tc>
          <w:tcPr>
            <w:tcW w:w="8822" w:type="dxa"/>
            <w:gridSpan w:val="9"/>
            <w:shd w:val="clear" w:color="auto" w:fill="000000" w:themeFill="text1"/>
          </w:tcPr>
          <w:p w:rsidR="00F56A4E" w:rsidRPr="00341A73" w:rsidRDefault="00F56A4E" w:rsidP="00D65E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>Quality D</w:t>
            </w:r>
            <w:r w:rsidRPr="00341A73">
              <w:rPr>
                <w:rFonts w:ascii="Arial" w:hAnsi="Arial" w:cs="Arial"/>
                <w:color w:val="FFFFFF" w:themeColor="background1"/>
              </w:rPr>
              <w:t>esign Guidelines</w:t>
            </w:r>
            <w:r>
              <w:rPr>
                <w:rFonts w:ascii="Arial" w:hAnsi="Arial" w:cs="Arial"/>
                <w:color w:val="FFFFFF" w:themeColor="background1"/>
              </w:rPr>
              <w:t xml:space="preserve"> -</w:t>
            </w:r>
            <w:r w:rsidRPr="00341A73">
              <w:rPr>
                <w:rFonts w:ascii="Arial" w:hAnsi="Arial" w:cs="Arial"/>
                <w:color w:val="FFFFFF" w:themeColor="background1"/>
              </w:rPr>
              <w:t xml:space="preserve"> Residential Areas</w:t>
            </w:r>
          </w:p>
        </w:tc>
      </w:tr>
      <w:tr w:rsidR="00F56A4E" w:rsidRPr="00341A73" w:rsidTr="00D65E4E">
        <w:tc>
          <w:tcPr>
            <w:tcW w:w="2205" w:type="dxa"/>
            <w:gridSpan w:val="2"/>
            <w:shd w:val="clear" w:color="auto" w:fill="auto"/>
          </w:tcPr>
          <w:p w:rsidR="00F56A4E" w:rsidRPr="00341A73" w:rsidDel="006F5F90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lastRenderedPageBreak/>
              <w:t xml:space="preserve">All </w:t>
            </w:r>
            <w:r>
              <w:rPr>
                <w:rFonts w:ascii="Arial" w:hAnsi="Arial" w:cs="Arial"/>
              </w:rPr>
              <w:t>typologies –garden setting and l</w:t>
            </w:r>
            <w:r w:rsidRPr="00341A73">
              <w:rPr>
                <w:rFonts w:ascii="Arial" w:hAnsi="Arial" w:cs="Arial"/>
              </w:rPr>
              <w:t>andscaping in all types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F56A4E" w:rsidRPr="00341A73" w:rsidRDefault="00F56A4E" w:rsidP="00A944C7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Change wording to make clearer the tree planting requirement</w:t>
            </w:r>
            <w:r>
              <w:rPr>
                <w:rFonts w:ascii="Arial" w:hAnsi="Arial" w:cs="Arial"/>
              </w:rPr>
              <w:t>.</w:t>
            </w:r>
            <w:r w:rsidRPr="00341A73">
              <w:rPr>
                <w:rFonts w:ascii="Arial" w:hAnsi="Arial" w:cs="Arial"/>
              </w:rPr>
              <w:t xml:space="preserve"> </w:t>
            </w:r>
          </w:p>
          <w:p w:rsidR="00F56A4E" w:rsidRPr="00341A73" w:rsidRDefault="00F56A4E" w:rsidP="00A944C7">
            <w:pPr>
              <w:rPr>
                <w:rFonts w:ascii="Arial" w:hAnsi="Arial" w:cs="Arial"/>
              </w:rPr>
            </w:pPr>
          </w:p>
          <w:p w:rsidR="00F56A4E" w:rsidRPr="00341A73" w:rsidDel="006F5F90" w:rsidRDefault="00F56A4E" w:rsidP="000B1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 a</w:t>
            </w:r>
            <w:r w:rsidRPr="00341A73">
              <w:rPr>
                <w:rFonts w:ascii="Arial" w:hAnsi="Arial" w:cs="Arial"/>
              </w:rPr>
              <w:t>partment calculation not to include rear setback.</w:t>
            </w:r>
          </w:p>
        </w:tc>
        <w:tc>
          <w:tcPr>
            <w:tcW w:w="2205" w:type="dxa"/>
            <w:gridSpan w:val="3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F56A4E" w:rsidRPr="00341A73" w:rsidRDefault="00F56A4E" w:rsidP="00A944C7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Clarity.</w:t>
            </w:r>
          </w:p>
          <w:p w:rsidR="00F56A4E" w:rsidRPr="00341A73" w:rsidRDefault="00F56A4E" w:rsidP="00A944C7">
            <w:pPr>
              <w:rPr>
                <w:rFonts w:ascii="Arial" w:hAnsi="Arial" w:cs="Arial"/>
              </w:rPr>
            </w:pPr>
          </w:p>
          <w:p w:rsidR="00F56A4E" w:rsidRPr="00341A73" w:rsidRDefault="00F56A4E" w:rsidP="00DE663F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 xml:space="preserve">Urban </w:t>
            </w:r>
            <w:r>
              <w:rPr>
                <w:rFonts w:ascii="Arial" w:hAnsi="Arial" w:cs="Arial"/>
              </w:rPr>
              <w:t>a</w:t>
            </w:r>
            <w:r w:rsidRPr="00341A73">
              <w:rPr>
                <w:rFonts w:ascii="Arial" w:hAnsi="Arial" w:cs="Arial"/>
              </w:rPr>
              <w:t>partment has insufficient room for canopy trees within rear setback.</w:t>
            </w:r>
          </w:p>
        </w:tc>
      </w:tr>
      <w:tr w:rsidR="00F56A4E" w:rsidRPr="00341A73" w:rsidTr="00D65E4E">
        <w:tc>
          <w:tcPr>
            <w:tcW w:w="2205" w:type="dxa"/>
            <w:gridSpan w:val="2"/>
            <w:shd w:val="clear" w:color="auto" w:fill="auto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 xml:space="preserve">All typologies – </w:t>
            </w:r>
            <w:r>
              <w:rPr>
                <w:rFonts w:ascii="Arial" w:hAnsi="Arial" w:cs="Arial"/>
              </w:rPr>
              <w:t>f</w:t>
            </w:r>
            <w:r w:rsidRPr="00341A73">
              <w:rPr>
                <w:rFonts w:ascii="Arial" w:hAnsi="Arial" w:cs="Arial"/>
              </w:rPr>
              <w:t>ront fencing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Front fence maximum height for m</w:t>
            </w:r>
            <w:r>
              <w:rPr>
                <w:rFonts w:ascii="Arial" w:hAnsi="Arial" w:cs="Arial"/>
              </w:rPr>
              <w:t>ain roads should be 1.8m not 2</w:t>
            </w:r>
            <w:r w:rsidRPr="00341A73">
              <w:rPr>
                <w:rFonts w:ascii="Arial" w:hAnsi="Arial" w:cs="Arial"/>
              </w:rPr>
              <w:t>m.</w:t>
            </w:r>
          </w:p>
        </w:tc>
        <w:tc>
          <w:tcPr>
            <w:tcW w:w="2205" w:type="dxa"/>
            <w:gridSpan w:val="3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F56A4E" w:rsidRPr="00341A73" w:rsidRDefault="00F56A4E" w:rsidP="00A16B91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 xml:space="preserve">Clarity </w:t>
            </w:r>
            <w:r>
              <w:rPr>
                <w:rFonts w:ascii="Arial" w:hAnsi="Arial" w:cs="Arial"/>
              </w:rPr>
              <w:t>and</w:t>
            </w:r>
            <w:r w:rsidRPr="00341A73">
              <w:rPr>
                <w:rFonts w:ascii="Arial" w:hAnsi="Arial" w:cs="Arial"/>
              </w:rPr>
              <w:t xml:space="preserve"> consistency across all typologies.</w:t>
            </w:r>
          </w:p>
        </w:tc>
      </w:tr>
      <w:tr w:rsidR="00F56A4E" w:rsidRPr="00341A73" w:rsidTr="00D65E4E">
        <w:tc>
          <w:tcPr>
            <w:tcW w:w="2205" w:type="dxa"/>
            <w:gridSpan w:val="2"/>
            <w:shd w:val="clear" w:color="auto" w:fill="auto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typologies –primary o</w:t>
            </w:r>
            <w:r w:rsidRPr="00341A73">
              <w:rPr>
                <w:rFonts w:ascii="Arial" w:hAnsi="Arial" w:cs="Arial"/>
              </w:rPr>
              <w:t>utlook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Clarify in diagrams that 6m setback for primary outlook applies to side and rear.</w:t>
            </w:r>
          </w:p>
        </w:tc>
        <w:tc>
          <w:tcPr>
            <w:tcW w:w="2205" w:type="dxa"/>
            <w:gridSpan w:val="3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F56A4E" w:rsidRPr="00341A73" w:rsidRDefault="00F56A4E" w:rsidP="0082166C">
            <w:pPr>
              <w:rPr>
                <w:rFonts w:ascii="Arial" w:hAnsi="Arial" w:cs="Arial"/>
              </w:rPr>
            </w:pPr>
          </w:p>
        </w:tc>
      </w:tr>
      <w:tr w:rsidR="00F56A4E" w:rsidRPr="00341A73" w:rsidTr="00D65E4E">
        <w:tc>
          <w:tcPr>
            <w:tcW w:w="2205" w:type="dxa"/>
            <w:gridSpan w:val="2"/>
            <w:shd w:val="clear" w:color="auto" w:fill="auto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 Minimal change s</w:t>
            </w:r>
            <w:r w:rsidRPr="00341A73">
              <w:rPr>
                <w:rFonts w:ascii="Arial" w:hAnsi="Arial" w:cs="Arial"/>
              </w:rPr>
              <w:t>ide setback (p</w:t>
            </w:r>
            <w:r>
              <w:rPr>
                <w:rFonts w:ascii="Arial" w:hAnsi="Arial" w:cs="Arial"/>
              </w:rPr>
              <w:t xml:space="preserve">age </w:t>
            </w:r>
            <w:r w:rsidRPr="00341A73">
              <w:rPr>
                <w:rFonts w:ascii="Arial" w:hAnsi="Arial" w:cs="Arial"/>
              </w:rPr>
              <w:t>14)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F56A4E" w:rsidRPr="00341A73" w:rsidRDefault="00F56A4E" w:rsidP="00A16B91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Include the secondary image that shows side setback to balcony</w:t>
            </w:r>
            <w:r>
              <w:rPr>
                <w:rFonts w:ascii="Arial" w:hAnsi="Arial" w:cs="Arial"/>
              </w:rPr>
              <w:t>.</w:t>
            </w:r>
            <w:r w:rsidRPr="00341A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05" w:type="dxa"/>
            <w:gridSpan w:val="3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F56A4E" w:rsidRPr="00341A73" w:rsidRDefault="00F56A4E" w:rsidP="002640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Clarity.</w:t>
            </w:r>
          </w:p>
        </w:tc>
      </w:tr>
      <w:tr w:rsidR="00F56A4E" w:rsidRPr="00341A73" w:rsidTr="00D65E4E">
        <w:tc>
          <w:tcPr>
            <w:tcW w:w="2205" w:type="dxa"/>
            <w:gridSpan w:val="2"/>
            <w:shd w:val="clear" w:color="auto" w:fill="auto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 xml:space="preserve">2.3 Garden townhouse </w:t>
            </w:r>
          </w:p>
          <w:p w:rsidR="00F56A4E" w:rsidRPr="00341A73" w:rsidRDefault="00F56A4E" w:rsidP="000B14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341A73">
              <w:rPr>
                <w:rFonts w:ascii="Arial" w:hAnsi="Arial" w:cs="Arial"/>
              </w:rPr>
              <w:t>verview (p</w:t>
            </w:r>
            <w:r>
              <w:rPr>
                <w:rFonts w:ascii="Arial" w:hAnsi="Arial" w:cs="Arial"/>
              </w:rPr>
              <w:t xml:space="preserve">age </w:t>
            </w:r>
            <w:r w:rsidRPr="00341A73">
              <w:rPr>
                <w:rFonts w:ascii="Arial" w:hAnsi="Arial" w:cs="Arial"/>
              </w:rPr>
              <w:t xml:space="preserve">18) 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Remove reference to ‘medium density’ in objective section and in s</w:t>
            </w:r>
            <w:r>
              <w:rPr>
                <w:rFonts w:ascii="Arial" w:hAnsi="Arial" w:cs="Arial"/>
              </w:rPr>
              <w:t>econd bullet in summary section.</w:t>
            </w:r>
          </w:p>
        </w:tc>
        <w:tc>
          <w:tcPr>
            <w:tcW w:w="2205" w:type="dxa"/>
            <w:gridSpan w:val="3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Clarity/alignment with minimum garden area requirement in planning scheme.</w:t>
            </w:r>
          </w:p>
        </w:tc>
      </w:tr>
      <w:tr w:rsidR="00F56A4E" w:rsidRPr="00341A73" w:rsidTr="00D65E4E">
        <w:tc>
          <w:tcPr>
            <w:tcW w:w="2205" w:type="dxa"/>
            <w:gridSpan w:val="2"/>
            <w:shd w:val="clear" w:color="auto" w:fill="auto"/>
          </w:tcPr>
          <w:p w:rsidR="00F56A4E" w:rsidRPr="00341A73" w:rsidRDefault="00F56A4E" w:rsidP="002476B6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2.3 Garden townhouse (p</w:t>
            </w:r>
            <w:r>
              <w:rPr>
                <w:rFonts w:ascii="Arial" w:hAnsi="Arial" w:cs="Arial"/>
              </w:rPr>
              <w:t xml:space="preserve">age </w:t>
            </w:r>
            <w:r w:rsidRPr="00341A73">
              <w:rPr>
                <w:rFonts w:ascii="Arial" w:hAnsi="Arial" w:cs="Arial"/>
              </w:rPr>
              <w:t>21), 2.4 Townhouse and apartment mix (p</w:t>
            </w:r>
            <w:r>
              <w:rPr>
                <w:rFonts w:ascii="Arial" w:hAnsi="Arial" w:cs="Arial"/>
              </w:rPr>
              <w:t xml:space="preserve">age </w:t>
            </w:r>
            <w:r w:rsidRPr="00341A73">
              <w:rPr>
                <w:rFonts w:ascii="Arial" w:hAnsi="Arial" w:cs="Arial"/>
              </w:rPr>
              <w:t>29) and 2.5 Garden apartment (p</w:t>
            </w:r>
            <w:r>
              <w:rPr>
                <w:rFonts w:ascii="Arial" w:hAnsi="Arial" w:cs="Arial"/>
              </w:rPr>
              <w:t xml:space="preserve">age </w:t>
            </w:r>
            <w:r w:rsidRPr="00341A73">
              <w:rPr>
                <w:rFonts w:ascii="Arial" w:hAnsi="Arial" w:cs="Arial"/>
              </w:rPr>
              <w:t>37)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F56A4E" w:rsidRPr="00341A73" w:rsidRDefault="00F56A4E" w:rsidP="00B201CA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Change diagram for rear setback to show the 6m setback for secluded private open space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05" w:type="dxa"/>
            <w:gridSpan w:val="3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F56A4E" w:rsidRPr="00341A73" w:rsidRDefault="00F56A4E" w:rsidP="00B201CA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Clarity</w:t>
            </w:r>
          </w:p>
        </w:tc>
      </w:tr>
      <w:tr w:rsidR="00F56A4E" w:rsidRPr="00341A73" w:rsidTr="00D65E4E">
        <w:tc>
          <w:tcPr>
            <w:tcW w:w="2205" w:type="dxa"/>
            <w:gridSpan w:val="2"/>
            <w:shd w:val="clear" w:color="auto" w:fill="auto"/>
          </w:tcPr>
          <w:p w:rsidR="00F56A4E" w:rsidRPr="00341A73" w:rsidRDefault="00F56A4E" w:rsidP="002476B6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2.5 Garden Apartment (p</w:t>
            </w:r>
            <w:r>
              <w:rPr>
                <w:rFonts w:ascii="Arial" w:hAnsi="Arial" w:cs="Arial"/>
              </w:rPr>
              <w:t xml:space="preserve">ages </w:t>
            </w:r>
            <w:r w:rsidRPr="00341A73">
              <w:rPr>
                <w:rFonts w:ascii="Arial" w:hAnsi="Arial" w:cs="Arial"/>
              </w:rPr>
              <w:t>36 and 37)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F56A4E" w:rsidRPr="00341A73" w:rsidRDefault="00F56A4E" w:rsidP="00365416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Change setbacks at front and rear to allow a ‘three storey podium’, r</w:t>
            </w:r>
            <w:r>
              <w:rPr>
                <w:rFonts w:ascii="Arial" w:hAnsi="Arial" w:cs="Arial"/>
              </w:rPr>
              <w:t>emoving the tiered setbacks at l</w:t>
            </w:r>
            <w:r w:rsidRPr="00341A73">
              <w:rPr>
                <w:rFonts w:ascii="Arial" w:hAnsi="Arial" w:cs="Arial"/>
              </w:rPr>
              <w:t xml:space="preserve">evel 3 </w:t>
            </w:r>
            <w:r>
              <w:rPr>
                <w:rFonts w:ascii="Arial" w:hAnsi="Arial" w:cs="Arial"/>
              </w:rPr>
              <w:t>and</w:t>
            </w:r>
            <w:r w:rsidRPr="00341A73">
              <w:rPr>
                <w:rFonts w:ascii="Arial" w:hAnsi="Arial" w:cs="Arial"/>
              </w:rPr>
              <w:t xml:space="preserve"> 4. Replace imagery and remove associated guidance for ‘built form presents as two storeys’. </w:t>
            </w:r>
          </w:p>
        </w:tc>
        <w:tc>
          <w:tcPr>
            <w:tcW w:w="2205" w:type="dxa"/>
            <w:gridSpan w:val="3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Design testing has shown original setbacks were not practical and too restrictive on housing yield. New controls deliver same ‘garden corridor’ at the front and rear of the site with a focus on more greenery and landscaping.</w:t>
            </w:r>
          </w:p>
        </w:tc>
      </w:tr>
      <w:tr w:rsidR="00F56A4E" w:rsidRPr="00341A73" w:rsidTr="00D65E4E">
        <w:tc>
          <w:tcPr>
            <w:tcW w:w="2205" w:type="dxa"/>
            <w:gridSpan w:val="2"/>
            <w:shd w:val="clear" w:color="auto" w:fill="auto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6 Urban a</w:t>
            </w:r>
            <w:r w:rsidRPr="00341A73">
              <w:rPr>
                <w:rFonts w:ascii="Arial" w:hAnsi="Arial" w:cs="Arial"/>
              </w:rPr>
              <w:t>partment (p</w:t>
            </w:r>
            <w:r>
              <w:rPr>
                <w:rFonts w:ascii="Arial" w:hAnsi="Arial" w:cs="Arial"/>
              </w:rPr>
              <w:t xml:space="preserve">age </w:t>
            </w:r>
            <w:r w:rsidRPr="00341A73">
              <w:rPr>
                <w:rFonts w:ascii="Arial" w:hAnsi="Arial" w:cs="Arial"/>
              </w:rPr>
              <w:t>44)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F56A4E" w:rsidRPr="00341A73" w:rsidRDefault="00F56A4E" w:rsidP="00A16B91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 xml:space="preserve">Change side and rear back setback diagram and include an additional </w:t>
            </w:r>
            <w:r w:rsidRPr="00341A73">
              <w:rPr>
                <w:rFonts w:ascii="Arial" w:hAnsi="Arial" w:cs="Arial"/>
              </w:rPr>
              <w:lastRenderedPageBreak/>
              <w:t>diagram to improve guidance in rela</w:t>
            </w:r>
            <w:r>
              <w:rPr>
                <w:rFonts w:ascii="Arial" w:hAnsi="Arial" w:cs="Arial"/>
              </w:rPr>
              <w:t>tion to whether it is abutting urban apartment</w:t>
            </w:r>
            <w:r w:rsidRPr="00341A73">
              <w:rPr>
                <w:rFonts w:ascii="Arial" w:hAnsi="Arial" w:cs="Arial"/>
              </w:rPr>
              <w:t>/non-residential area or a residential building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05" w:type="dxa"/>
            <w:gridSpan w:val="3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Clarity</w:t>
            </w:r>
            <w:r>
              <w:rPr>
                <w:rFonts w:ascii="Arial" w:hAnsi="Arial" w:cs="Arial"/>
              </w:rPr>
              <w:t>.</w:t>
            </w:r>
          </w:p>
        </w:tc>
      </w:tr>
      <w:tr w:rsidR="00F56A4E" w:rsidRPr="00341A73" w:rsidTr="00D65E4E">
        <w:tc>
          <w:tcPr>
            <w:tcW w:w="8822" w:type="dxa"/>
            <w:gridSpan w:val="9"/>
            <w:shd w:val="clear" w:color="auto" w:fill="000000" w:themeFill="text1"/>
          </w:tcPr>
          <w:p w:rsidR="00F56A4E" w:rsidRPr="00341A73" w:rsidRDefault="00F56A4E" w:rsidP="00D65E4E">
            <w:pPr>
              <w:rPr>
                <w:rFonts w:ascii="Arial" w:hAnsi="Arial" w:cs="Arial"/>
                <w:color w:val="FFFFFF" w:themeColor="background1"/>
              </w:rPr>
            </w:pPr>
            <w:r w:rsidRPr="00341A73">
              <w:rPr>
                <w:rFonts w:ascii="Arial" w:hAnsi="Arial" w:cs="Arial"/>
                <w:color w:val="FFFFFF" w:themeColor="background1"/>
              </w:rPr>
              <w:t>Q</w:t>
            </w:r>
            <w:r>
              <w:rPr>
                <w:rFonts w:ascii="Arial" w:hAnsi="Arial" w:cs="Arial"/>
                <w:color w:val="FFFFFF" w:themeColor="background1"/>
              </w:rPr>
              <w:t>uality D</w:t>
            </w:r>
            <w:r w:rsidRPr="00341A73">
              <w:rPr>
                <w:rFonts w:ascii="Arial" w:hAnsi="Arial" w:cs="Arial"/>
                <w:color w:val="FFFFFF" w:themeColor="background1"/>
              </w:rPr>
              <w:t xml:space="preserve">esign Guidelines </w:t>
            </w:r>
            <w:r>
              <w:rPr>
                <w:rFonts w:ascii="Arial" w:hAnsi="Arial" w:cs="Arial"/>
                <w:color w:val="FFFFFF" w:themeColor="background1"/>
              </w:rPr>
              <w:t xml:space="preserve">- Commercial and </w:t>
            </w:r>
            <w:proofErr w:type="gramStart"/>
            <w:r>
              <w:rPr>
                <w:rFonts w:ascii="Arial" w:hAnsi="Arial" w:cs="Arial"/>
                <w:color w:val="FFFFFF" w:themeColor="background1"/>
              </w:rPr>
              <w:t>Mixed</w:t>
            </w:r>
            <w:r w:rsidRPr="00341A73">
              <w:rPr>
                <w:rFonts w:ascii="Arial" w:hAnsi="Arial" w:cs="Arial"/>
                <w:color w:val="FFFFFF" w:themeColor="background1"/>
              </w:rPr>
              <w:t xml:space="preserve"> Use</w:t>
            </w:r>
            <w:proofErr w:type="gramEnd"/>
            <w:r w:rsidRPr="00341A73">
              <w:rPr>
                <w:rFonts w:ascii="Arial" w:hAnsi="Arial" w:cs="Arial"/>
                <w:color w:val="FFFFFF" w:themeColor="background1"/>
              </w:rPr>
              <w:t xml:space="preserve"> Areas</w:t>
            </w:r>
          </w:p>
        </w:tc>
      </w:tr>
      <w:tr w:rsidR="00F56A4E" w:rsidRPr="00341A73" w:rsidTr="00D65E4E">
        <w:tc>
          <w:tcPr>
            <w:tcW w:w="2205" w:type="dxa"/>
            <w:gridSpan w:val="2"/>
            <w:shd w:val="clear" w:color="auto" w:fill="auto"/>
          </w:tcPr>
          <w:p w:rsidR="00F56A4E" w:rsidRPr="00341A73" w:rsidRDefault="00F56A4E" w:rsidP="000B141C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4.3 Community Benefit</w:t>
            </w:r>
          </w:p>
        </w:tc>
        <w:tc>
          <w:tcPr>
            <w:tcW w:w="2206" w:type="dxa"/>
            <w:gridSpan w:val="3"/>
            <w:shd w:val="clear" w:color="auto" w:fill="auto"/>
          </w:tcPr>
          <w:p w:rsidR="00F56A4E" w:rsidRPr="00341A73" w:rsidRDefault="00F56A4E" w:rsidP="00357768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Remove sentence ‘….and will be clarified through future strategic work’</w:t>
            </w:r>
            <w:r>
              <w:rPr>
                <w:rFonts w:ascii="Arial" w:hAnsi="Arial" w:cs="Arial"/>
              </w:rPr>
              <w:t>.</w:t>
            </w:r>
          </w:p>
          <w:p w:rsidR="00F56A4E" w:rsidRPr="00341A73" w:rsidRDefault="00F56A4E" w:rsidP="00357768">
            <w:pPr>
              <w:rPr>
                <w:rFonts w:ascii="Arial" w:hAnsi="Arial" w:cs="Arial"/>
              </w:rPr>
            </w:pPr>
          </w:p>
          <w:p w:rsidR="00F56A4E" w:rsidRPr="00341A73" w:rsidRDefault="00F56A4E" w:rsidP="00357768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elete final section ‘Community b</w:t>
            </w:r>
            <w:r w:rsidRPr="00341A73">
              <w:rPr>
                <w:rFonts w:ascii="Arial" w:hAnsi="Arial" w:cs="Arial"/>
              </w:rPr>
              <w:t>enefit examples’ as it just repeats previous section</w:t>
            </w:r>
            <w:r>
              <w:rPr>
                <w:rFonts w:ascii="Arial" w:hAnsi="Arial" w:cs="Arial"/>
              </w:rPr>
              <w:t>.</w:t>
            </w:r>
            <w:r w:rsidRPr="00341A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05" w:type="dxa"/>
            <w:gridSpan w:val="3"/>
          </w:tcPr>
          <w:p w:rsidR="00F56A4E" w:rsidRPr="00341A73" w:rsidRDefault="00F56A4E" w:rsidP="0085151A">
            <w:pPr>
              <w:rPr>
                <w:rFonts w:ascii="Arial" w:hAnsi="Arial" w:cs="Arial"/>
              </w:rPr>
            </w:pPr>
          </w:p>
          <w:p w:rsidR="00F56A4E" w:rsidRPr="00341A73" w:rsidRDefault="00F56A4E" w:rsidP="0085151A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F56A4E" w:rsidRPr="00341A73" w:rsidRDefault="00F56A4E" w:rsidP="00357768">
            <w:pPr>
              <w:rPr>
                <w:rFonts w:ascii="Arial" w:hAnsi="Arial" w:cs="Arial"/>
              </w:rPr>
            </w:pPr>
            <w:r w:rsidRPr="00341A73">
              <w:rPr>
                <w:rFonts w:ascii="Arial" w:hAnsi="Arial" w:cs="Arial"/>
              </w:rPr>
              <w:t>This chapter doesn’t provi</w:t>
            </w:r>
            <w:r>
              <w:rPr>
                <w:rFonts w:ascii="Arial" w:hAnsi="Arial" w:cs="Arial"/>
              </w:rPr>
              <w:t>de clarity but adds confusion. Has been</w:t>
            </w:r>
            <w:r w:rsidRPr="00341A73">
              <w:rPr>
                <w:rFonts w:ascii="Arial" w:hAnsi="Arial" w:cs="Arial"/>
              </w:rPr>
              <w:t xml:space="preserve"> revised to ensure consistent message as per revised structure plan wording on this and proposed policy.</w:t>
            </w:r>
          </w:p>
        </w:tc>
      </w:tr>
    </w:tbl>
    <w:p w:rsidR="00635114" w:rsidRPr="00341A73" w:rsidRDefault="00635114" w:rsidP="0082166C">
      <w:pPr>
        <w:rPr>
          <w:rFonts w:ascii="Arial" w:hAnsi="Arial" w:cs="Arial"/>
        </w:rPr>
      </w:pPr>
    </w:p>
    <w:sectPr w:rsidR="00635114" w:rsidRPr="00341A7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4B3" w:rsidRDefault="00FD74B3" w:rsidP="005F5659">
      <w:pPr>
        <w:spacing w:after="0" w:line="240" w:lineRule="auto"/>
      </w:pPr>
      <w:r>
        <w:separator/>
      </w:r>
    </w:p>
  </w:endnote>
  <w:endnote w:type="continuationSeparator" w:id="0">
    <w:p w:rsidR="00FD74B3" w:rsidRDefault="00FD74B3" w:rsidP="005F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7291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5659" w:rsidRDefault="005F56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B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5659" w:rsidRDefault="005F5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4B3" w:rsidRDefault="00FD74B3" w:rsidP="005F5659">
      <w:pPr>
        <w:spacing w:after="0" w:line="240" w:lineRule="auto"/>
      </w:pPr>
      <w:r>
        <w:separator/>
      </w:r>
    </w:p>
  </w:footnote>
  <w:footnote w:type="continuationSeparator" w:id="0">
    <w:p w:rsidR="00FD74B3" w:rsidRDefault="00FD74B3" w:rsidP="005F5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83BFE"/>
    <w:multiLevelType w:val="hybridMultilevel"/>
    <w:tmpl w:val="64C67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57D38"/>
    <w:multiLevelType w:val="hybridMultilevel"/>
    <w:tmpl w:val="325074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C865C5"/>
    <w:multiLevelType w:val="hybridMultilevel"/>
    <w:tmpl w:val="00283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114"/>
    <w:rsid w:val="0001404E"/>
    <w:rsid w:val="000155FB"/>
    <w:rsid w:val="00040FF8"/>
    <w:rsid w:val="00077852"/>
    <w:rsid w:val="000B705E"/>
    <w:rsid w:val="000E5A50"/>
    <w:rsid w:val="0012673F"/>
    <w:rsid w:val="001A7FC9"/>
    <w:rsid w:val="002476B6"/>
    <w:rsid w:val="00264066"/>
    <w:rsid w:val="002668BB"/>
    <w:rsid w:val="00267633"/>
    <w:rsid w:val="0028731A"/>
    <w:rsid w:val="002C2F22"/>
    <w:rsid w:val="00341A73"/>
    <w:rsid w:val="00347A6A"/>
    <w:rsid w:val="00357768"/>
    <w:rsid w:val="00365416"/>
    <w:rsid w:val="00385D18"/>
    <w:rsid w:val="00391E1A"/>
    <w:rsid w:val="00393FC9"/>
    <w:rsid w:val="003D04FA"/>
    <w:rsid w:val="003E39FF"/>
    <w:rsid w:val="004677A1"/>
    <w:rsid w:val="004C71A7"/>
    <w:rsid w:val="004E5AEF"/>
    <w:rsid w:val="004F6978"/>
    <w:rsid w:val="0058146F"/>
    <w:rsid w:val="005A56F7"/>
    <w:rsid w:val="005B493A"/>
    <w:rsid w:val="005C6FC7"/>
    <w:rsid w:val="005F06D4"/>
    <w:rsid w:val="005F5659"/>
    <w:rsid w:val="00635114"/>
    <w:rsid w:val="00646621"/>
    <w:rsid w:val="006B2CD3"/>
    <w:rsid w:val="006F5F90"/>
    <w:rsid w:val="007267D3"/>
    <w:rsid w:val="00731013"/>
    <w:rsid w:val="00744A7D"/>
    <w:rsid w:val="00806116"/>
    <w:rsid w:val="0082166C"/>
    <w:rsid w:val="00854506"/>
    <w:rsid w:val="00863E6D"/>
    <w:rsid w:val="008F4FBB"/>
    <w:rsid w:val="00900AD8"/>
    <w:rsid w:val="00917E4F"/>
    <w:rsid w:val="00A16B91"/>
    <w:rsid w:val="00A8682F"/>
    <w:rsid w:val="00AB0ACC"/>
    <w:rsid w:val="00AE0E2D"/>
    <w:rsid w:val="00AE667F"/>
    <w:rsid w:val="00B201CA"/>
    <w:rsid w:val="00B56267"/>
    <w:rsid w:val="00B762CE"/>
    <w:rsid w:val="00BB11B5"/>
    <w:rsid w:val="00BC5441"/>
    <w:rsid w:val="00BC5EEC"/>
    <w:rsid w:val="00C40726"/>
    <w:rsid w:val="00C62F22"/>
    <w:rsid w:val="00C82924"/>
    <w:rsid w:val="00C903E6"/>
    <w:rsid w:val="00CB7651"/>
    <w:rsid w:val="00CF0482"/>
    <w:rsid w:val="00CF18FB"/>
    <w:rsid w:val="00D20601"/>
    <w:rsid w:val="00D2182C"/>
    <w:rsid w:val="00D578D4"/>
    <w:rsid w:val="00D63D8F"/>
    <w:rsid w:val="00D65E4E"/>
    <w:rsid w:val="00D661FB"/>
    <w:rsid w:val="00D97812"/>
    <w:rsid w:val="00DB72B9"/>
    <w:rsid w:val="00DC1B06"/>
    <w:rsid w:val="00DE663F"/>
    <w:rsid w:val="00DF0AE5"/>
    <w:rsid w:val="00E122D4"/>
    <w:rsid w:val="00E25E9E"/>
    <w:rsid w:val="00E52C1E"/>
    <w:rsid w:val="00E57FB8"/>
    <w:rsid w:val="00F1736E"/>
    <w:rsid w:val="00F56A4E"/>
    <w:rsid w:val="00FD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928C5D-BD82-48D0-8A1C-0845A86B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11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11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1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BB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57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FB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FB8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5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65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5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65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C39F-7DF2-4D64-9F64-70F677F2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813</Words>
  <Characters>4621</Characters>
  <Application>Microsoft Office Word</Application>
  <DocSecurity>0</DocSecurity>
  <Lines>102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 Eira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User</dc:creator>
  <cp:lastModifiedBy>Melodie Silva</cp:lastModifiedBy>
  <cp:revision>7</cp:revision>
  <cp:lastPrinted>2018-11-07T22:40:00Z</cp:lastPrinted>
  <dcterms:created xsi:type="dcterms:W3CDTF">2018-11-25T04:51:00Z</dcterms:created>
  <dcterms:modified xsi:type="dcterms:W3CDTF">2018-11-29T00:29:00Z</dcterms:modified>
</cp:coreProperties>
</file>